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32" w:rsidRDefault="00857032" w:rsidP="00857032">
      <w:pPr>
        <w:spacing w:after="120" w:line="276" w:lineRule="auto"/>
        <w:jc w:val="both"/>
        <w:rPr>
          <w:rFonts w:ascii="Century Gothic" w:hAnsi="Century Gothic"/>
          <w:b/>
          <w:sz w:val="22"/>
          <w:szCs w:val="22"/>
        </w:rPr>
      </w:pPr>
      <w:r>
        <w:rPr>
          <w:rFonts w:ascii="Century Gothic" w:hAnsi="Century Gothic"/>
          <w:b/>
        </w:rPr>
        <w:t xml:space="preserve">INFORMACE PŘED PŘIJETÍM A SEZNAM DOPORUČENÝCH VĚCÍ </w:t>
      </w: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Doporučujeme, aby v den přijetí klienta do Domova byl po celou dobu přítomen rodinný příslušník nebo jiná blízká osoba. Přítomnost blízké osoby může dopomoci ke zvýšení pocitu bezpečí a k zahájení úspěšného procesu adaptace na nové sociální prostředí.</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 xml:space="preserve">Přijetí klienta probíhá ve všední dny v dopoledních hodinách, optimálně do 11:00 hod. Změna je možná po domluvě se sociální pracovnicí Domova. </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 xml:space="preserve">Před nástupem do </w:t>
      </w:r>
      <w:proofErr w:type="spellStart"/>
      <w:r w:rsidRPr="004546CB">
        <w:rPr>
          <w:rFonts w:ascii="Century Gothic" w:hAnsi="Century Gothic"/>
          <w:sz w:val="22"/>
          <w:szCs w:val="22"/>
        </w:rPr>
        <w:t>SeniorCentra</w:t>
      </w:r>
      <w:proofErr w:type="spellEnd"/>
      <w:r w:rsidRPr="004546CB">
        <w:rPr>
          <w:rFonts w:ascii="Century Gothic" w:hAnsi="Century Gothic"/>
          <w:sz w:val="22"/>
          <w:szCs w:val="22"/>
        </w:rPr>
        <w:t xml:space="preserve"> Hradec Králové doporučujeme (platí pro služby Domov pro seniory, Domov se zvláštním režimem), aby klient vypořádal své osobní záležitosti, jako je např. odhlášení inkasa, dodavatelů energií, televizních poplatků, tisku, místních poplatků a na adrese trvalého bydliště. </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b/>
          <w:sz w:val="22"/>
          <w:szCs w:val="22"/>
        </w:rPr>
      </w:pPr>
      <w:r w:rsidRPr="004546CB">
        <w:rPr>
          <w:rFonts w:ascii="Century Gothic" w:hAnsi="Century Gothic"/>
          <w:b/>
          <w:sz w:val="22"/>
          <w:szCs w:val="22"/>
        </w:rPr>
        <w:t>Seznam doporučených osobních věcí</w:t>
      </w:r>
    </w:p>
    <w:p w:rsidR="00857032" w:rsidRPr="004546CB" w:rsidRDefault="00857032" w:rsidP="00857032">
      <w:pPr>
        <w:spacing w:after="120" w:line="276" w:lineRule="auto"/>
        <w:contextualSpacing/>
        <w:jc w:val="both"/>
        <w:rPr>
          <w:rFonts w:ascii="Century Gothic" w:hAnsi="Century Gothic"/>
          <w:b/>
          <w:sz w:val="22"/>
          <w:szCs w:val="22"/>
        </w:rPr>
      </w:pPr>
    </w:p>
    <w:p w:rsidR="00857032" w:rsidRPr="004546CB" w:rsidRDefault="00857032" w:rsidP="00857032">
      <w:pPr>
        <w:spacing w:after="120" w:line="276" w:lineRule="auto"/>
        <w:contextualSpacing/>
        <w:jc w:val="both"/>
        <w:rPr>
          <w:rFonts w:ascii="Century Gothic" w:hAnsi="Century Gothic"/>
          <w:b/>
          <w:sz w:val="22"/>
          <w:szCs w:val="22"/>
        </w:rPr>
      </w:pPr>
      <w:r w:rsidRPr="004546CB">
        <w:rPr>
          <w:rFonts w:ascii="Century Gothic" w:hAnsi="Century Gothic"/>
          <w:b/>
          <w:sz w:val="22"/>
          <w:szCs w:val="22"/>
        </w:rPr>
        <w:t xml:space="preserve">Oblečení: </w:t>
      </w: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 xml:space="preserve">Vezměte si věci, na které jste zvyklí, které máte rádi a cítíte se v nich dobře. Doporučujeme Vám oblečení z bavlněných materiálů. Prosím, mějte připravené oblečení na všechna roční období (platí pro služby Domov pro seniory, Domov se zvláštním režimem). Zvolte vhodnou domácí i venkovní obuv, její správný výběr významně snižuje riziko pádu. </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Doporučujeme mít všechno prádlo označené na skrytém místě (př. našít jmenovku na skrytém místě), abychom mohli zajistit rychlý návrat veškerého oblečení zpět. Pozor na označení, které by mohlo být viditelné nebo znehodnotit oblečení (př. označení fixem). Můžete také nechat oblečení označit u nás štítkovačem. Bližší informace Vám poskytnou naše sociální pracovníci.</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b/>
          <w:sz w:val="22"/>
          <w:szCs w:val="22"/>
        </w:rPr>
      </w:pPr>
      <w:r w:rsidRPr="004546CB">
        <w:rPr>
          <w:rFonts w:ascii="Century Gothic" w:hAnsi="Century Gothic"/>
          <w:b/>
          <w:sz w:val="22"/>
          <w:szCs w:val="22"/>
        </w:rPr>
        <w:t>Osobní doklady:</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Platný občanský průkaz a Průkaz zdravotní pojišťovny</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Průkaz diabetika nebo jiný doklady o návštěvách u odborných lékařů</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lastRenderedPageBreak/>
        <w:t>Rozhodnutí o přiznání příspěvku na péči (dle zákona o sociálních službách č. 108/2006 Sb.)</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Kopie dokladů v případě, že je žadatel omezen ve svéprávnosti, příp. kopie ověřené plné moci</w:t>
      </w: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 xml:space="preserve"> </w:t>
      </w:r>
    </w:p>
    <w:p w:rsidR="00857032" w:rsidRPr="004546CB" w:rsidRDefault="00857032" w:rsidP="00857032">
      <w:pPr>
        <w:spacing w:after="120" w:line="276" w:lineRule="auto"/>
        <w:jc w:val="both"/>
        <w:rPr>
          <w:rFonts w:ascii="Century Gothic" w:hAnsi="Century Gothic"/>
          <w:b/>
          <w:sz w:val="22"/>
          <w:szCs w:val="22"/>
        </w:rPr>
      </w:pPr>
      <w:r w:rsidRPr="004546CB">
        <w:rPr>
          <w:rFonts w:ascii="Century Gothic" w:hAnsi="Century Gothic"/>
          <w:b/>
          <w:sz w:val="22"/>
          <w:szCs w:val="22"/>
        </w:rPr>
        <w:t xml:space="preserve">Zdravotní pomůcky a kosmetika: </w:t>
      </w: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Budete pravděpodobně potřebovat stejné věci, jako byste potřeboval ve svém domácím prostředí (hygienické potřeby, zdravotnické potřeby, kompenzační pomůcky apod.). SeneCura poskytuje svým klientům ložní prádlo, žínky, toaletní papír a osobní kosmetiku.</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inkontinenční pomůcky (datum poslední objednávky přes zdravotní pojišťovnu)</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kompenzační pomůcky např. transportní invalidní vozík nebo židle na vyprazdňování u lůžka  (pouze byly-li Vám předepsány), berle, vycházková hůl, chodítko, naslouchadlo</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zubní protéza (kelímek na odkládání)</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Brýle + pouzdro (označené)</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Potřeby na holení (vhodný je elektrický holicí strojek)</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Toaletní potřeby dle svých zvyklostí (zubní kartáček a pasta, hřeben, pleťový krém, toaletní voda, pinzeta, nůžky na nehty) v toaletní tašce</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Kosmetické potřeby, které jste dosud používal/a (parfémy, líčení, voda po holení apod.)</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2x ručník a osuška</w:t>
      </w:r>
    </w:p>
    <w:p w:rsidR="00857032" w:rsidRPr="004546CB" w:rsidRDefault="00857032" w:rsidP="00857032">
      <w:pPr>
        <w:pStyle w:val="Odstavecseseznamem"/>
        <w:numPr>
          <w:ilvl w:val="0"/>
          <w:numId w:val="3"/>
        </w:numPr>
        <w:spacing w:after="120"/>
        <w:jc w:val="both"/>
        <w:rPr>
          <w:rFonts w:ascii="Century Gothic" w:hAnsi="Century Gothic"/>
        </w:rPr>
      </w:pPr>
      <w:r w:rsidRPr="004546CB">
        <w:rPr>
          <w:rFonts w:ascii="Century Gothic" w:hAnsi="Century Gothic"/>
        </w:rPr>
        <w:t>Balení léků na průjem a teplotu</w:t>
      </w: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V </w:t>
      </w:r>
      <w:proofErr w:type="spellStart"/>
      <w:r w:rsidRPr="004546CB">
        <w:rPr>
          <w:rFonts w:ascii="Century Gothic" w:hAnsi="Century Gothic"/>
          <w:sz w:val="22"/>
          <w:szCs w:val="22"/>
        </w:rPr>
        <w:t>SeniorCentru</w:t>
      </w:r>
      <w:proofErr w:type="spellEnd"/>
      <w:r w:rsidRPr="004546CB">
        <w:rPr>
          <w:rFonts w:ascii="Century Gothic" w:hAnsi="Century Gothic"/>
          <w:sz w:val="22"/>
          <w:szCs w:val="22"/>
        </w:rPr>
        <w:t xml:space="preserve"> Hradec Králové jsou v rámci ubytování poskytovány služby prádelny, která zajišťuje praní prádla a žehlení osobního prádla, drobné opravy a úklid oblečení na pokoj.</w:t>
      </w: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Těšíme se na Vás.</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b/>
          <w:sz w:val="22"/>
          <w:szCs w:val="22"/>
        </w:rPr>
      </w:pPr>
      <w:r w:rsidRPr="004546CB">
        <w:rPr>
          <w:rFonts w:ascii="Century Gothic" w:hAnsi="Century Gothic"/>
          <w:b/>
          <w:sz w:val="22"/>
          <w:szCs w:val="22"/>
        </w:rPr>
        <w:t>V případě dalších dotazů neváhejte kontaktovat sociální pracovnice</w:t>
      </w:r>
    </w:p>
    <w:p w:rsidR="00857032" w:rsidRPr="004546CB" w:rsidRDefault="00857032" w:rsidP="00857032">
      <w:pPr>
        <w:spacing w:after="120" w:line="276" w:lineRule="auto"/>
        <w:contextualSpacing/>
        <w:jc w:val="both"/>
        <w:rPr>
          <w:rFonts w:ascii="Century Gothic" w:hAnsi="Century Gothic"/>
          <w:b/>
          <w:sz w:val="22"/>
          <w:szCs w:val="22"/>
        </w:rPr>
      </w:pP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Tel: 737 285 236, 734 313 241, 720</w:t>
      </w:r>
      <w:r>
        <w:rPr>
          <w:rFonts w:ascii="Century Gothic" w:hAnsi="Century Gothic"/>
          <w:sz w:val="22"/>
          <w:szCs w:val="22"/>
        </w:rPr>
        <w:t> </w:t>
      </w:r>
      <w:r w:rsidRPr="004546CB">
        <w:rPr>
          <w:rFonts w:ascii="Century Gothic" w:hAnsi="Century Gothic"/>
          <w:sz w:val="22"/>
          <w:szCs w:val="22"/>
        </w:rPr>
        <w:t>811</w:t>
      </w:r>
      <w:r>
        <w:rPr>
          <w:rFonts w:ascii="Century Gothic" w:hAnsi="Century Gothic"/>
          <w:sz w:val="22"/>
          <w:szCs w:val="22"/>
        </w:rPr>
        <w:t xml:space="preserve"> </w:t>
      </w:r>
      <w:r w:rsidRPr="004546CB">
        <w:rPr>
          <w:rFonts w:ascii="Century Gothic" w:hAnsi="Century Gothic"/>
          <w:sz w:val="22"/>
          <w:szCs w:val="22"/>
        </w:rPr>
        <w:t>267</w:t>
      </w:r>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 xml:space="preserve">e-mail: </w:t>
      </w:r>
      <w:hyperlink r:id="rId8" w:history="1">
        <w:r w:rsidRPr="004546CB">
          <w:rPr>
            <w:rStyle w:val="Hypertextovodkaz"/>
            <w:rFonts w:ascii="Century Gothic" w:hAnsi="Century Gothic"/>
            <w:sz w:val="22"/>
            <w:szCs w:val="22"/>
          </w:rPr>
          <w:t>socialni1.hk@senecura.cz</w:t>
        </w:r>
      </w:hyperlink>
      <w:r w:rsidRPr="004546CB">
        <w:rPr>
          <w:rFonts w:ascii="Century Gothic" w:hAnsi="Century Gothic"/>
          <w:sz w:val="22"/>
          <w:szCs w:val="22"/>
        </w:rPr>
        <w:t xml:space="preserve">, </w:t>
      </w:r>
      <w:hyperlink r:id="rId9" w:history="1">
        <w:r w:rsidRPr="004546CB">
          <w:rPr>
            <w:rStyle w:val="Hypertextovodkaz"/>
            <w:rFonts w:ascii="Century Gothic" w:hAnsi="Century Gothic"/>
            <w:sz w:val="22"/>
            <w:szCs w:val="22"/>
          </w:rPr>
          <w:t>socialni2.hk@senecura.cz</w:t>
        </w:r>
      </w:hyperlink>
      <w:r w:rsidRPr="004546CB">
        <w:rPr>
          <w:rFonts w:ascii="Century Gothic" w:hAnsi="Century Gothic"/>
          <w:sz w:val="22"/>
          <w:szCs w:val="22"/>
        </w:rPr>
        <w:t xml:space="preserve"> , </w:t>
      </w:r>
      <w:hyperlink r:id="rId10" w:history="1">
        <w:r w:rsidRPr="004546CB">
          <w:rPr>
            <w:rStyle w:val="Hypertextovodkaz"/>
            <w:rFonts w:ascii="Century Gothic" w:hAnsi="Century Gothic"/>
            <w:sz w:val="22"/>
            <w:szCs w:val="22"/>
          </w:rPr>
          <w:t>socialni3.hk@senecura.cz</w:t>
        </w:r>
      </w:hyperlink>
    </w:p>
    <w:p w:rsidR="00857032" w:rsidRPr="004546CB" w:rsidRDefault="00857032" w:rsidP="00857032">
      <w:pPr>
        <w:spacing w:after="120" w:line="276" w:lineRule="auto"/>
        <w:contextualSpacing/>
        <w:jc w:val="both"/>
        <w:rPr>
          <w:rFonts w:ascii="Century Gothic" w:hAnsi="Century Gothic"/>
          <w:sz w:val="22"/>
          <w:szCs w:val="22"/>
        </w:rPr>
      </w:pPr>
    </w:p>
    <w:p w:rsidR="00857032" w:rsidRPr="004546CB" w:rsidRDefault="00857032" w:rsidP="00857032">
      <w:pPr>
        <w:spacing w:after="120" w:line="276" w:lineRule="auto"/>
        <w:contextualSpacing/>
        <w:jc w:val="both"/>
        <w:rPr>
          <w:rFonts w:ascii="Century Gothic" w:hAnsi="Century Gothic"/>
          <w:sz w:val="22"/>
          <w:szCs w:val="22"/>
        </w:rPr>
      </w:pPr>
      <w:r w:rsidRPr="004546CB">
        <w:rPr>
          <w:rFonts w:ascii="Century Gothic" w:hAnsi="Century Gothic"/>
          <w:sz w:val="22"/>
          <w:szCs w:val="22"/>
        </w:rPr>
        <w:t>Web: www.hradeckralove.senecura.cz</w:t>
      </w:r>
    </w:p>
    <w:p w:rsidR="00375B85" w:rsidRPr="00813EE1" w:rsidRDefault="00375B85" w:rsidP="00813EE1">
      <w:bookmarkStart w:id="0" w:name="_GoBack"/>
      <w:bookmarkEnd w:id="0"/>
    </w:p>
    <w:sectPr w:rsidR="00375B85" w:rsidRPr="00813EE1" w:rsidSect="00F62241">
      <w:headerReference w:type="default" r:id="rId11"/>
      <w:footerReference w:type="default" r:id="rId12"/>
      <w:pgSz w:w="11900" w:h="16840" w:code="9"/>
      <w:pgMar w:top="3060" w:right="1127" w:bottom="2160" w:left="993"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EE1" w:rsidRDefault="00813EE1" w:rsidP="00585905">
      <w:r>
        <w:separator/>
      </w:r>
    </w:p>
  </w:endnote>
  <w:endnote w:type="continuationSeparator" w:id="0">
    <w:p w:rsidR="00813EE1" w:rsidRDefault="00813EE1" w:rsidP="0058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Bw Modelica">
    <w:altName w:val="Courier New"/>
    <w:panose1 w:val="00000000000000000000"/>
    <w:charset w:val="00"/>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7B" w:rsidRDefault="00A33E7B" w:rsidP="007E3B77">
    <w:pPr>
      <w:tabs>
        <w:tab w:val="left" w:pos="2735"/>
        <w:tab w:val="left" w:pos="6073"/>
      </w:tabs>
      <w:rPr>
        <w:rFonts w:ascii="Bw Modelica" w:eastAsia="Times New Roman" w:hAnsi="Bw Modelica"/>
        <w:color w:val="000000"/>
        <w:sz w:val="18"/>
        <w:szCs w:val="18"/>
        <w:lang w:eastAsia="cs-CZ"/>
      </w:rPr>
    </w:pPr>
  </w:p>
  <w:p w:rsidR="00FE5565" w:rsidRDefault="00B038C3" w:rsidP="00FE5565">
    <w:pPr>
      <w:tabs>
        <w:tab w:val="left" w:pos="2735"/>
        <w:tab w:val="left" w:pos="6073"/>
      </w:tabs>
      <w:rPr>
        <w:rFonts w:ascii="Century Gothic" w:eastAsia="Times New Roman" w:hAnsi="Century Gothic"/>
        <w:b/>
        <w:bCs/>
        <w:color w:val="83ACD6"/>
        <w:sz w:val="16"/>
        <w:szCs w:val="16"/>
        <w:lang w:eastAsia="cs-CZ"/>
      </w:rPr>
    </w:pPr>
    <w:r>
      <w:rPr>
        <w:rFonts w:ascii="Century Gothic" w:eastAsia="Times New Roman" w:hAnsi="Century Gothic"/>
        <w:color w:val="000000"/>
        <w:sz w:val="16"/>
        <w:szCs w:val="16"/>
        <w:lang w:eastAsia="cs-CZ"/>
      </w:rPr>
      <w:tab/>
    </w:r>
  </w:p>
  <w:p w:rsidR="00A33E7B" w:rsidRDefault="00A33E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EE1" w:rsidRDefault="00813EE1" w:rsidP="00585905">
      <w:r>
        <w:separator/>
      </w:r>
    </w:p>
  </w:footnote>
  <w:footnote w:type="continuationSeparator" w:id="0">
    <w:p w:rsidR="00813EE1" w:rsidRDefault="00813EE1" w:rsidP="0058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05" w:rsidRPr="00F47B70" w:rsidRDefault="00F978DE" w:rsidP="00F47B70">
    <w:pPr>
      <w:pStyle w:val="Zhlav"/>
    </w:pPr>
    <w:r>
      <w:rPr>
        <w:noProof/>
        <w:lang w:eastAsia="cs-CZ"/>
      </w:rPr>
      <w:drawing>
        <wp:anchor distT="0" distB="0" distL="114300" distR="114300" simplePos="0" relativeHeight="251657728" behindDoc="1" locked="0" layoutInCell="1" allowOverlap="1" wp14:anchorId="2CD9AFBB" wp14:editId="66E7027F">
          <wp:simplePos x="0" y="0"/>
          <wp:positionH relativeFrom="column">
            <wp:posOffset>-621595</wp:posOffset>
          </wp:positionH>
          <wp:positionV relativeFrom="paragraph">
            <wp:posOffset>-144145</wp:posOffset>
          </wp:positionV>
          <wp:extent cx="7516408" cy="10629265"/>
          <wp:effectExtent l="0" t="0" r="2540" b="63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6408" cy="1062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A85"/>
    <w:multiLevelType w:val="hybridMultilevel"/>
    <w:tmpl w:val="B57CE2E2"/>
    <w:lvl w:ilvl="0" w:tplc="BFEA1054">
      <w:numFmt w:val="bullet"/>
      <w:lvlText w:val="•"/>
      <w:lvlJc w:val="left"/>
      <w:pPr>
        <w:ind w:left="1070" w:hanging="710"/>
      </w:pPr>
      <w:rPr>
        <w:rFonts w:ascii="Century Gothic" w:eastAsia="Calibri" w:hAnsi="Century Gothic"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405339B"/>
    <w:multiLevelType w:val="hybridMultilevel"/>
    <w:tmpl w:val="1486B3C0"/>
    <w:lvl w:ilvl="0" w:tplc="D7E290A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473EC5"/>
    <w:multiLevelType w:val="hybridMultilevel"/>
    <w:tmpl w:val="6ABAD87A"/>
    <w:lvl w:ilvl="0" w:tplc="C9E4CAC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31"/>
    <w:rsid w:val="0000721D"/>
    <w:rsid w:val="0008140C"/>
    <w:rsid w:val="00091397"/>
    <w:rsid w:val="001168C5"/>
    <w:rsid w:val="0012124C"/>
    <w:rsid w:val="00162BBD"/>
    <w:rsid w:val="00173F8C"/>
    <w:rsid w:val="00186984"/>
    <w:rsid w:val="001A07B9"/>
    <w:rsid w:val="001B775D"/>
    <w:rsid w:val="00233426"/>
    <w:rsid w:val="00247327"/>
    <w:rsid w:val="002853F7"/>
    <w:rsid w:val="00375B85"/>
    <w:rsid w:val="003A7A94"/>
    <w:rsid w:val="00425AD2"/>
    <w:rsid w:val="00426EB7"/>
    <w:rsid w:val="004773A2"/>
    <w:rsid w:val="004F0651"/>
    <w:rsid w:val="00585905"/>
    <w:rsid w:val="00595F68"/>
    <w:rsid w:val="005A6C18"/>
    <w:rsid w:val="006472AA"/>
    <w:rsid w:val="006706EA"/>
    <w:rsid w:val="0069225D"/>
    <w:rsid w:val="006B2246"/>
    <w:rsid w:val="006E5FF4"/>
    <w:rsid w:val="00701D4F"/>
    <w:rsid w:val="00734544"/>
    <w:rsid w:val="0074587C"/>
    <w:rsid w:val="00786C1D"/>
    <w:rsid w:val="007A543B"/>
    <w:rsid w:val="007E3B77"/>
    <w:rsid w:val="00811620"/>
    <w:rsid w:val="0081294B"/>
    <w:rsid w:val="00813EE1"/>
    <w:rsid w:val="00821431"/>
    <w:rsid w:val="00857032"/>
    <w:rsid w:val="00871BFD"/>
    <w:rsid w:val="00894F53"/>
    <w:rsid w:val="008C0619"/>
    <w:rsid w:val="008E0692"/>
    <w:rsid w:val="009149A1"/>
    <w:rsid w:val="00925CBE"/>
    <w:rsid w:val="00932B4C"/>
    <w:rsid w:val="00946B86"/>
    <w:rsid w:val="009D58D6"/>
    <w:rsid w:val="00A237E2"/>
    <w:rsid w:val="00A33E7B"/>
    <w:rsid w:val="00A413D1"/>
    <w:rsid w:val="00A6009D"/>
    <w:rsid w:val="00A65201"/>
    <w:rsid w:val="00A72813"/>
    <w:rsid w:val="00A74D59"/>
    <w:rsid w:val="00A85A69"/>
    <w:rsid w:val="00A87CE7"/>
    <w:rsid w:val="00B038C3"/>
    <w:rsid w:val="00B04078"/>
    <w:rsid w:val="00B058EA"/>
    <w:rsid w:val="00B4279D"/>
    <w:rsid w:val="00B54EA0"/>
    <w:rsid w:val="00BF6C75"/>
    <w:rsid w:val="00C025D8"/>
    <w:rsid w:val="00C332A2"/>
    <w:rsid w:val="00C45D88"/>
    <w:rsid w:val="00C87177"/>
    <w:rsid w:val="00C95E5B"/>
    <w:rsid w:val="00C97DAA"/>
    <w:rsid w:val="00CC393A"/>
    <w:rsid w:val="00CE73D7"/>
    <w:rsid w:val="00D37B7C"/>
    <w:rsid w:val="00D42E95"/>
    <w:rsid w:val="00D612E2"/>
    <w:rsid w:val="00D628BA"/>
    <w:rsid w:val="00E92697"/>
    <w:rsid w:val="00EF4950"/>
    <w:rsid w:val="00F47B70"/>
    <w:rsid w:val="00F62241"/>
    <w:rsid w:val="00F659A3"/>
    <w:rsid w:val="00F73C4B"/>
    <w:rsid w:val="00F978DE"/>
    <w:rsid w:val="00FC35F5"/>
    <w:rsid w:val="00FE5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ACF21"/>
  <w14:defaultImageDpi w14:val="32767"/>
  <w15:chartTrackingRefBased/>
  <w15:docId w15:val="{2BC3088A-3B73-4716-BBDD-CEB13B94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link w:val="Nadpis1Char"/>
    <w:uiPriority w:val="9"/>
    <w:qFormat/>
    <w:rsid w:val="007E3B77"/>
    <w:pPr>
      <w:keepNext/>
      <w:keepLines/>
      <w:spacing w:before="240"/>
      <w:outlineLvl w:val="0"/>
    </w:pPr>
    <w:rPr>
      <w:rFonts w:ascii="Calibri Light" w:eastAsia="Times New Roman" w:hAnsi="Calibri Light"/>
      <w:color w:val="2F5496"/>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5905"/>
    <w:pPr>
      <w:tabs>
        <w:tab w:val="center" w:pos="4536"/>
        <w:tab w:val="right" w:pos="9072"/>
      </w:tabs>
    </w:pPr>
  </w:style>
  <w:style w:type="character" w:customStyle="1" w:styleId="ZhlavChar">
    <w:name w:val="Záhlaví Char"/>
    <w:basedOn w:val="Standardnpsmoodstavce"/>
    <w:link w:val="Zhlav"/>
    <w:uiPriority w:val="99"/>
    <w:rsid w:val="00585905"/>
  </w:style>
  <w:style w:type="paragraph" w:styleId="Zpat">
    <w:name w:val="footer"/>
    <w:basedOn w:val="Normln"/>
    <w:link w:val="ZpatChar"/>
    <w:uiPriority w:val="99"/>
    <w:unhideWhenUsed/>
    <w:rsid w:val="00585905"/>
    <w:pPr>
      <w:tabs>
        <w:tab w:val="center" w:pos="4536"/>
        <w:tab w:val="right" w:pos="9072"/>
      </w:tabs>
    </w:pPr>
  </w:style>
  <w:style w:type="character" w:customStyle="1" w:styleId="ZpatChar">
    <w:name w:val="Zápatí Char"/>
    <w:basedOn w:val="Standardnpsmoodstavce"/>
    <w:link w:val="Zpat"/>
    <w:uiPriority w:val="99"/>
    <w:rsid w:val="00585905"/>
  </w:style>
  <w:style w:type="character" w:styleId="Hypertextovodkaz">
    <w:name w:val="Hyperlink"/>
    <w:uiPriority w:val="99"/>
    <w:unhideWhenUsed/>
    <w:rsid w:val="00D37B7C"/>
    <w:rPr>
      <w:color w:val="0563C1"/>
      <w:u w:val="single"/>
    </w:rPr>
  </w:style>
  <w:style w:type="character" w:customStyle="1" w:styleId="Nadpis1Char">
    <w:name w:val="Nadpis 1 Char"/>
    <w:link w:val="Nadpis1"/>
    <w:uiPriority w:val="9"/>
    <w:rsid w:val="007E3B77"/>
    <w:rPr>
      <w:rFonts w:ascii="Calibri Light" w:eastAsia="Times New Roman" w:hAnsi="Calibri Light" w:cs="Times New Roman"/>
      <w:color w:val="2F5496"/>
      <w:sz w:val="32"/>
      <w:szCs w:val="32"/>
    </w:rPr>
  </w:style>
  <w:style w:type="paragraph" w:styleId="Textbubliny">
    <w:name w:val="Balloon Text"/>
    <w:basedOn w:val="Normln"/>
    <w:link w:val="TextbublinyChar"/>
    <w:uiPriority w:val="99"/>
    <w:semiHidden/>
    <w:unhideWhenUsed/>
    <w:rsid w:val="00821431"/>
    <w:rPr>
      <w:rFonts w:ascii="Tahoma" w:hAnsi="Tahoma" w:cs="Tahoma"/>
      <w:sz w:val="16"/>
      <w:szCs w:val="16"/>
    </w:rPr>
  </w:style>
  <w:style w:type="character" w:customStyle="1" w:styleId="TextbublinyChar">
    <w:name w:val="Text bubliny Char"/>
    <w:link w:val="Textbubliny"/>
    <w:uiPriority w:val="99"/>
    <w:semiHidden/>
    <w:rsid w:val="00821431"/>
    <w:rPr>
      <w:rFonts w:ascii="Tahoma" w:hAnsi="Tahoma" w:cs="Tahoma"/>
      <w:sz w:val="16"/>
      <w:szCs w:val="16"/>
    </w:rPr>
  </w:style>
  <w:style w:type="paragraph" w:customStyle="1" w:styleId="Heading">
    <w:name w:val="Heading"/>
    <w:basedOn w:val="Normln"/>
    <w:link w:val="HeadingChar"/>
    <w:qFormat/>
    <w:rsid w:val="006706EA"/>
    <w:rPr>
      <w:rFonts w:ascii="Arial" w:hAnsi="Arial" w:cs="Arial"/>
      <w:b/>
      <w:color w:val="83ACD6"/>
      <w:sz w:val="22"/>
      <w:szCs w:val="22"/>
    </w:rPr>
  </w:style>
  <w:style w:type="paragraph" w:customStyle="1" w:styleId="Body">
    <w:name w:val="Body"/>
    <w:basedOn w:val="Normln"/>
    <w:link w:val="BodyChar"/>
    <w:qFormat/>
    <w:rsid w:val="006706EA"/>
    <w:rPr>
      <w:rFonts w:ascii="Arial" w:hAnsi="Arial" w:cs="Arial"/>
      <w:sz w:val="22"/>
      <w:szCs w:val="22"/>
    </w:rPr>
  </w:style>
  <w:style w:type="character" w:customStyle="1" w:styleId="HeadingChar">
    <w:name w:val="Heading Char"/>
    <w:link w:val="Heading"/>
    <w:rsid w:val="006706EA"/>
    <w:rPr>
      <w:rFonts w:ascii="Arial" w:hAnsi="Arial" w:cs="Arial"/>
      <w:b/>
      <w:color w:val="83ACD6"/>
      <w:sz w:val="22"/>
      <w:szCs w:val="22"/>
      <w:lang w:val="cs-CZ"/>
    </w:rPr>
  </w:style>
  <w:style w:type="character" w:customStyle="1" w:styleId="BodyChar">
    <w:name w:val="Body Char"/>
    <w:link w:val="Body"/>
    <w:rsid w:val="006706EA"/>
    <w:rPr>
      <w:rFonts w:ascii="Arial" w:hAnsi="Arial" w:cs="Arial"/>
      <w:sz w:val="22"/>
      <w:szCs w:val="22"/>
      <w:lang w:val="cs-CZ"/>
    </w:rPr>
  </w:style>
  <w:style w:type="paragraph" w:styleId="Odstavecseseznamem">
    <w:name w:val="List Paragraph"/>
    <w:basedOn w:val="Normln"/>
    <w:uiPriority w:val="34"/>
    <w:qFormat/>
    <w:rsid w:val="00813EE1"/>
    <w:pPr>
      <w:spacing w:after="200" w:line="276" w:lineRule="auto"/>
      <w:ind w:left="720"/>
      <w:contextualSpacing/>
    </w:pPr>
    <w:rPr>
      <w:rFonts w:cs="Calibri"/>
      <w:sz w:val="22"/>
      <w:szCs w:val="22"/>
    </w:rPr>
  </w:style>
  <w:style w:type="paragraph" w:customStyle="1" w:styleId="Standard">
    <w:name w:val="Standard"/>
    <w:rsid w:val="00A85A69"/>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8782">
      <w:bodyDiv w:val="1"/>
      <w:marLeft w:val="0"/>
      <w:marRight w:val="0"/>
      <w:marTop w:val="0"/>
      <w:marBottom w:val="0"/>
      <w:divBdr>
        <w:top w:val="none" w:sz="0" w:space="0" w:color="auto"/>
        <w:left w:val="none" w:sz="0" w:space="0" w:color="auto"/>
        <w:bottom w:val="none" w:sz="0" w:space="0" w:color="auto"/>
        <w:right w:val="none" w:sz="0" w:space="0" w:color="auto"/>
      </w:divBdr>
    </w:div>
    <w:div w:id="315190589">
      <w:bodyDiv w:val="1"/>
      <w:marLeft w:val="0"/>
      <w:marRight w:val="0"/>
      <w:marTop w:val="0"/>
      <w:marBottom w:val="0"/>
      <w:divBdr>
        <w:top w:val="none" w:sz="0" w:space="0" w:color="auto"/>
        <w:left w:val="none" w:sz="0" w:space="0" w:color="auto"/>
        <w:bottom w:val="none" w:sz="0" w:space="0" w:color="auto"/>
        <w:right w:val="none" w:sz="0" w:space="0" w:color="auto"/>
      </w:divBdr>
    </w:div>
    <w:div w:id="551497993">
      <w:bodyDiv w:val="1"/>
      <w:marLeft w:val="0"/>
      <w:marRight w:val="0"/>
      <w:marTop w:val="0"/>
      <w:marBottom w:val="0"/>
      <w:divBdr>
        <w:top w:val="none" w:sz="0" w:space="0" w:color="auto"/>
        <w:left w:val="none" w:sz="0" w:space="0" w:color="auto"/>
        <w:bottom w:val="none" w:sz="0" w:space="0" w:color="auto"/>
        <w:right w:val="none" w:sz="0" w:space="0" w:color="auto"/>
      </w:divBdr>
    </w:div>
    <w:div w:id="891968753">
      <w:bodyDiv w:val="1"/>
      <w:marLeft w:val="0"/>
      <w:marRight w:val="0"/>
      <w:marTop w:val="0"/>
      <w:marBottom w:val="0"/>
      <w:divBdr>
        <w:top w:val="none" w:sz="0" w:space="0" w:color="auto"/>
        <w:left w:val="none" w:sz="0" w:space="0" w:color="auto"/>
        <w:bottom w:val="none" w:sz="0" w:space="0" w:color="auto"/>
        <w:right w:val="none" w:sz="0" w:space="0" w:color="auto"/>
      </w:divBdr>
    </w:div>
    <w:div w:id="1161776389">
      <w:bodyDiv w:val="1"/>
      <w:marLeft w:val="0"/>
      <w:marRight w:val="0"/>
      <w:marTop w:val="0"/>
      <w:marBottom w:val="0"/>
      <w:divBdr>
        <w:top w:val="none" w:sz="0" w:space="0" w:color="auto"/>
        <w:left w:val="none" w:sz="0" w:space="0" w:color="auto"/>
        <w:bottom w:val="none" w:sz="0" w:space="0" w:color="auto"/>
        <w:right w:val="none" w:sz="0" w:space="0" w:color="auto"/>
      </w:divBdr>
    </w:div>
    <w:div w:id="1203321914">
      <w:bodyDiv w:val="1"/>
      <w:marLeft w:val="0"/>
      <w:marRight w:val="0"/>
      <w:marTop w:val="0"/>
      <w:marBottom w:val="0"/>
      <w:divBdr>
        <w:top w:val="none" w:sz="0" w:space="0" w:color="auto"/>
        <w:left w:val="none" w:sz="0" w:space="0" w:color="auto"/>
        <w:bottom w:val="none" w:sz="0" w:space="0" w:color="auto"/>
        <w:right w:val="none" w:sz="0" w:space="0" w:color="auto"/>
      </w:divBdr>
    </w:div>
    <w:div w:id="2080010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ni1.hk@senecur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cialni3.hk@senecura.cz" TargetMode="External"/><Relationship Id="rId4" Type="http://schemas.openxmlformats.org/officeDocument/2006/relationships/settings" Target="settings.xml"/><Relationship Id="rId9" Type="http://schemas.openxmlformats.org/officeDocument/2006/relationships/hyperlink" Target="mailto:socialni2.hk@senecur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F74A7F-367C-47A9-B022-2DCE672B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2860</Characters>
  <Application>Microsoft Office Word</Application>
  <DocSecurity>0</DocSecurity>
  <Lines>23</Lines>
  <Paragraphs>6</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Hradec Kralove Socialni1 [SeneCura CZ]</dc:creator>
  <cp:keywords/>
  <cp:lastModifiedBy>Hradec Kralove Socialni1 [SeneCura CZ]</cp:lastModifiedBy>
  <cp:revision>2</cp:revision>
  <cp:lastPrinted>2024-03-22T07:45:00Z</cp:lastPrinted>
  <dcterms:created xsi:type="dcterms:W3CDTF">2024-07-18T12:34:00Z</dcterms:created>
  <dcterms:modified xsi:type="dcterms:W3CDTF">2024-07-18T12:34:00Z</dcterms:modified>
</cp:coreProperties>
</file>